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jc w:val="center"/>
        <w:outlineLvl w:val="0"/>
        <w:rPr>
          <w:rFonts w:ascii="Arial" w:hAnsi="Arial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pacing w:val="-6"/>
          <w:shd w:fill="auto" w:val="clear"/>
          <w:lang w:val="en-US" w:eastAsia="ar-SA"/>
        </w:rPr>
        <w:t>C</w:t>
      </w:r>
      <w:r>
        <w:rPr>
          <w:rFonts w:eastAsia="Times New Roman" w:cs="Arial" w:ascii="Arial" w:hAnsi="Arial"/>
          <w:b/>
          <w:bCs/>
          <w:spacing w:val="-6"/>
          <w:shd w:fill="auto" w:val="clear"/>
          <w:lang w:eastAsia="ar-SA"/>
        </w:rPr>
        <w:t>ООБЩЕНИЕ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suppressAutoHyphens w:val="true"/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pacing w:val="-6"/>
          <w:shd w:fill="auto" w:val="clear"/>
          <w:lang w:eastAsia="ar-SA"/>
        </w:rPr>
        <w:t xml:space="preserve">о проведении заседания для принятия решений общим собранием акционеров 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Times New Roman" w:cs="Arial" w:ascii="Arial" w:hAnsi="Arial"/>
          <w:b/>
          <w:spacing w:val="-6"/>
          <w:shd w:fill="auto" w:val="clear"/>
          <w:lang w:eastAsia="ru-RU"/>
        </w:rPr>
        <w:t>Открытого а</w:t>
      </w:r>
      <w:r>
        <w:rPr>
          <w:rFonts w:eastAsia="Times New Roman" w:cs="Arial" w:ascii="Arial" w:hAnsi="Arial"/>
          <w:b/>
          <w:spacing w:val="-6"/>
          <w:shd w:fill="auto" w:val="clear"/>
          <w:lang w:eastAsia="ru-RU"/>
        </w:rPr>
        <w:t>кционерного общества «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val="ru-RU" w:eastAsia="ru-RU"/>
        </w:rPr>
        <w:t>Павловопосадская платочная мануфактура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val="ru-RU" w:eastAsia="ru-RU"/>
        </w:rPr>
        <w:t>»</w:t>
      </w:r>
      <w:r>
        <w:rPr>
          <w:rFonts w:eastAsia="Times New Roman" w:cs="Arial" w:ascii="Arial" w:hAnsi="Arial"/>
          <w:bCs/>
          <w:spacing w:val="-6"/>
          <w:shd w:fill="auto" w:val="clear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/>
          <w:highlight w:val="none"/>
          <w:shd w:fill="auto" w:val="clear"/>
        </w:rPr>
      </w:pPr>
      <w:r>
        <w:rPr>
          <w:rFonts w:eastAsia="Times New Roman" w:cs="Arial" w:ascii="Arial" w:hAnsi="Arial"/>
          <w:b/>
          <w:bCs/>
          <w:spacing w:val="-6"/>
          <w:shd w:fill="auto" w:val="clear"/>
          <w:lang w:eastAsia="ru-RU"/>
        </w:rPr>
        <w:t>(далее - Общество)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Полное фирменное наименование: 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Открытое а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кционерно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е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 xml:space="preserve"> обществ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о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 xml:space="preserve"> «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val="ru-RU" w:eastAsia="ru-RU"/>
        </w:rPr>
        <w:t>Павловопосадская платочная мануфактура</w:t>
      </w:r>
      <w:bookmarkStart w:id="0" w:name="_GoBack1"/>
      <w:bookmarkEnd w:id="0"/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»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Место нахождения общества: </w:t>
      </w:r>
      <w:r>
        <w:rPr>
          <w:rFonts w:eastAsia="Times New Roman" w:cs="Arial" w:ascii="Arial" w:hAnsi="Arial"/>
          <w:b w:val="false"/>
          <w:bCs w:val="false"/>
          <w:spacing w:val="-6"/>
          <w:sz w:val="22"/>
          <w:szCs w:val="22"/>
          <w:shd w:fill="auto" w:val="clear"/>
          <w:lang w:eastAsia="ru-RU"/>
        </w:rPr>
        <w:t>Московская область, г.Павловский Посад, ул. Каляева, д.5.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Вид заседания: Годовое</w:t>
      </w:r>
    </w:p>
    <w:p>
      <w:pPr>
        <w:pStyle w:val="Normal"/>
        <w:widowControl/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Способ принятия решений общим собранием акционеров:</w:t>
      </w:r>
      <w:r>
        <w:rPr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Fonts w:cs="Arial" w:ascii="Arial" w:hAnsi="Arial"/>
          <w:b/>
          <w:sz w:val="22"/>
          <w:szCs w:val="22"/>
          <w:shd w:fill="auto" w:val="clear"/>
        </w:rPr>
        <w:t>заседание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Голосование на заседании совмещается с заочным голосованием.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Место проведения заседания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 xml:space="preserve">: 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Московская область, г.Павловский Посад, ул. Каляева, д.5.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Дата проведения годового 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 xml:space="preserve">заседания 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общего собрания акционеров: </w:t>
      </w:r>
      <w:r>
        <w:rPr>
          <w:rFonts w:eastAsia="Times New Roman" w:cs="Arial" w:ascii="Arial" w:hAnsi="Arial"/>
          <w:b/>
          <w:bCs/>
          <w:spacing w:val="-6"/>
          <w:sz w:val="22"/>
          <w:szCs w:val="22"/>
          <w:shd w:fill="auto" w:val="clear"/>
          <w:lang w:eastAsia="ru-RU"/>
        </w:rPr>
        <w:t xml:space="preserve">05 </w:t>
      </w:r>
      <w:r>
        <w:rPr>
          <w:rFonts w:eastAsia="Times New Roman" w:cs="Arial" w:ascii="Arial" w:hAnsi="Arial"/>
          <w:b/>
          <w:bCs/>
          <w:spacing w:val="-6"/>
          <w:sz w:val="22"/>
          <w:szCs w:val="22"/>
          <w:shd w:fill="auto" w:val="clear"/>
          <w:lang w:eastAsia="ru-RU"/>
        </w:rPr>
        <w:t>июня 2025  года.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pacing w:val="-6"/>
          <w:sz w:val="22"/>
          <w:szCs w:val="22"/>
          <w:shd w:fill="auto" w:val="clear"/>
          <w:lang w:eastAsia="ru-RU"/>
        </w:rPr>
        <w:t xml:space="preserve">Дата окончания приема заполненных бюллетеней для голосования </w:t>
      </w:r>
      <w:r>
        <w:rPr>
          <w:rFonts w:eastAsia="Times New Roman" w:cs="Arial" w:ascii="Arial" w:hAnsi="Arial"/>
          <w:b w:val="false"/>
          <w:bCs w:val="false"/>
          <w:spacing w:val="-6"/>
          <w:sz w:val="22"/>
          <w:szCs w:val="22"/>
          <w:shd w:fill="auto" w:val="clear"/>
          <w:lang w:eastAsia="ru-RU"/>
        </w:rPr>
        <w:t xml:space="preserve">03 </w:t>
      </w:r>
      <w:r>
        <w:rPr>
          <w:rFonts w:eastAsia="Times New Roman" w:cs="Arial" w:ascii="Arial" w:hAnsi="Arial"/>
          <w:b w:val="false"/>
          <w:bCs w:val="false"/>
          <w:spacing w:val="-6"/>
          <w:sz w:val="22"/>
          <w:szCs w:val="22"/>
          <w:shd w:fill="auto" w:val="clear"/>
          <w:lang w:eastAsia="ru-RU"/>
        </w:rPr>
        <w:t>июня 2025  года.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Время открытия заседания: 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1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1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 часов 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0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0 минут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Время начала регистрации лиц, участвующих в заседании: 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1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>0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 часов 30 минут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Дата, на которую определяются (фиксируются) лица, имеющие право голоса при принятии решений общим собранием акционеров - 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 xml:space="preserve"> 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12 ма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я 2025 года.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Почтовый адрес, по которому могут направляться заполненные бюллетени: </w:t>
      </w:r>
      <w:r>
        <w:rPr>
          <w:rFonts w:eastAsia="Times New Roman" w:cs="Arial" w:ascii="Arial" w:hAnsi="Arial"/>
          <w:b w:val="false"/>
          <w:bCs w:val="false"/>
          <w:spacing w:val="-6"/>
          <w:sz w:val="22"/>
          <w:szCs w:val="22"/>
          <w:shd w:fill="auto" w:val="clear"/>
          <w:lang w:eastAsia="ru-RU"/>
        </w:rPr>
        <w:t xml:space="preserve">142500 </w:t>
      </w:r>
      <w:r>
        <w:rPr>
          <w:rFonts w:eastAsia="Times New Roman" w:cs="Arial" w:ascii="Arial" w:hAnsi="Arial"/>
          <w:b w:val="false"/>
          <w:bCs w:val="false"/>
          <w:spacing w:val="-6"/>
          <w:sz w:val="22"/>
          <w:szCs w:val="22"/>
          <w:shd w:fill="auto" w:val="clear"/>
          <w:lang w:eastAsia="ru-RU"/>
        </w:rPr>
        <w:t>Московская область, г.Павловский Посад, ул. Каляева, д.5.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340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Бюллетень для голосования, направленный по почтовому адресу, подписывается лицом, имеющим право голоса при принятии решений общим собранием акционеров или его представителем собственноручной подписью. 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ind w:firstLine="567"/>
        <w:jc w:val="both"/>
        <w:rPr/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В случае, если бюллетень подписывается представителем по доверенности она должна быть приложена к бюллетеню и оформлена в соответствии с требованиями ст. 57 Федерального закона от 26.12.1995 №208-ФЗ «Об акционерных обществах» и </w:t>
      </w:r>
      <w:hyperlink r:id="rId2">
        <w:r>
          <w:rPr>
            <w:rFonts w:eastAsia="Times New Roman" w:cs="Arial" w:ascii="Arial" w:hAnsi="Arial"/>
            <w:spacing w:val="-6"/>
            <w:sz w:val="22"/>
            <w:szCs w:val="22"/>
            <w:shd w:fill="auto" w:val="clear"/>
            <w:lang w:eastAsia="ru-RU"/>
          </w:rPr>
          <w:t>пунктов 3</w:t>
        </w:r>
      </w:hyperlink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 и </w:t>
      </w:r>
      <w:hyperlink r:id="rId3">
        <w:r>
          <w:rPr>
            <w:rFonts w:eastAsia="Times New Roman" w:cs="Arial" w:ascii="Arial" w:hAnsi="Arial"/>
            <w:spacing w:val="-6"/>
            <w:sz w:val="22"/>
            <w:szCs w:val="22"/>
            <w:shd w:fill="auto" w:val="clear"/>
            <w:lang w:eastAsia="ru-RU"/>
          </w:rPr>
          <w:t>4 статьи 185.1</w:t>
        </w:r>
      </w:hyperlink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 Гражданского кодекса Российской Федерации или удостоверена нотариально.</w:t>
      </w:r>
    </w:p>
    <w:p>
      <w:pPr>
        <w:pStyle w:val="Normal"/>
        <w:tabs>
          <w:tab w:val="clear" w:pos="708"/>
          <w:tab w:val="left" w:pos="851" w:leader="none"/>
        </w:tabs>
        <w:spacing w:before="0" w:after="0"/>
        <w:ind w:firstLine="567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Категории (типы) акций, владельцы которых имеют право голоса при принятии решений общим собранием акционеров по всем вопросам повестки дня годового заседания общего собрания акционеров: </w:t>
      </w: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акции обыкновенные.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center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  <w:t>Повестка дня: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center"/>
        <w:rPr>
          <w:rFonts w:ascii="Arial" w:hAnsi="Arial" w:eastAsia="Times New Roman" w:cs="Arial"/>
          <w:b/>
          <w:b/>
          <w:spacing w:val="-6"/>
          <w:sz w:val="22"/>
          <w:szCs w:val="22"/>
          <w:highlight w:val="none"/>
          <w:shd w:fill="auto" w:val="clear"/>
          <w:lang w:eastAsia="ru-RU"/>
        </w:rPr>
      </w:pPr>
      <w:r>
        <w:rPr>
          <w:rFonts w:eastAsia="Times New Roman" w:cs="Arial" w:ascii="Arial" w:hAnsi="Arial"/>
          <w:b/>
          <w:spacing w:val="-6"/>
          <w:sz w:val="22"/>
          <w:szCs w:val="22"/>
          <w:shd w:fill="auto" w:val="clear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right="-2" w:hanging="284"/>
        <w:jc w:val="both"/>
        <w:rPr>
          <w:rFonts w:ascii="Arial" w:hAnsi="Arial" w:cs="Arial"/>
          <w:bCs/>
          <w:sz w:val="22"/>
          <w:szCs w:val="22"/>
          <w:highlight w:val="none"/>
          <w:shd w:fill="auto" w:val="clear"/>
          <w:lang w:eastAsia="en-US"/>
        </w:rPr>
      </w:pPr>
      <w:r>
        <w:rPr>
          <w:rFonts w:cs="Arial" w:ascii="Arial" w:hAnsi="Arial"/>
          <w:bCs/>
          <w:sz w:val="22"/>
          <w:szCs w:val="22"/>
          <w:shd w:fill="auto" w:val="clear"/>
          <w:lang w:eastAsia="en-US"/>
        </w:rPr>
        <w:t xml:space="preserve">Об утверждении годового отчета, годовой бухгалтерской (финансовой) отчетности Общества за 2024 отчетный год.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right="-2" w:hanging="284"/>
        <w:jc w:val="both"/>
        <w:rPr>
          <w:rFonts w:ascii="Arial" w:hAnsi="Arial" w:cs="Arial"/>
          <w:bCs/>
          <w:sz w:val="22"/>
          <w:szCs w:val="22"/>
          <w:highlight w:val="none"/>
          <w:shd w:fill="auto" w:val="clear"/>
          <w:lang w:eastAsia="en-US"/>
        </w:rPr>
      </w:pPr>
      <w:r>
        <w:rPr>
          <w:rFonts w:cs="Arial" w:ascii="Arial" w:hAnsi="Arial"/>
          <w:bCs/>
          <w:sz w:val="22"/>
          <w:szCs w:val="22"/>
          <w:shd w:fill="auto" w:val="clear"/>
          <w:lang w:eastAsia="en-US"/>
        </w:rPr>
        <w:t xml:space="preserve">О распределении прибыли и убытков, в том числе выплате (объявлении) дивидендов по акциям Общества, по результатам 2024 отчетного года.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right="-2" w:hanging="284"/>
        <w:jc w:val="both"/>
        <w:rPr>
          <w:rFonts w:ascii="Arial" w:hAnsi="Arial" w:cs="Arial"/>
          <w:bCs/>
          <w:sz w:val="22"/>
          <w:szCs w:val="22"/>
          <w:highlight w:val="none"/>
          <w:shd w:fill="auto" w:val="clear"/>
          <w:lang w:eastAsia="en-US"/>
        </w:rPr>
      </w:pPr>
      <w:r>
        <w:rPr>
          <w:rFonts w:cs="Arial" w:ascii="Arial" w:hAnsi="Arial"/>
          <w:bCs/>
          <w:sz w:val="22"/>
          <w:szCs w:val="22"/>
          <w:shd w:fill="auto" w:val="clear"/>
          <w:lang w:eastAsia="en-US"/>
        </w:rPr>
        <w:t xml:space="preserve">Об избрании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  <w:lang w:eastAsia="en-US"/>
        </w:rPr>
        <w:t>Ревизионной комиссии</w:t>
      </w:r>
      <w:r>
        <w:rPr>
          <w:rFonts w:cs="Arial" w:ascii="Arial" w:hAnsi="Arial"/>
          <w:bCs/>
          <w:sz w:val="22"/>
          <w:szCs w:val="22"/>
          <w:shd w:fill="auto" w:val="clear"/>
          <w:lang w:eastAsia="en-US"/>
        </w:rPr>
        <w:t xml:space="preserve"> Общества.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567" w:right="-2" w:hanging="284"/>
        <w:jc w:val="both"/>
        <w:rPr>
          <w:rFonts w:ascii="Arial" w:hAnsi="Arial" w:cs="Arial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iCs/>
          <w:sz w:val="22"/>
          <w:szCs w:val="22"/>
          <w:shd w:fill="auto" w:val="clear"/>
        </w:rPr>
        <w:t xml:space="preserve">О назначении аудиторской организации Общества. 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rFonts w:ascii="Arial" w:hAnsi="Arial" w:eastAsia="Times New Roman" w:cs="Arial"/>
          <w:color w:val="000000"/>
          <w:spacing w:val="-6"/>
          <w:sz w:val="22"/>
          <w:szCs w:val="22"/>
          <w:highlight w:val="none"/>
          <w:shd w:fill="auto" w:val="clear"/>
          <w:lang w:eastAsia="ru-RU"/>
        </w:rPr>
      </w:pP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454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  <w:t xml:space="preserve">С информацией (материалами), предоставляемой при подготовке к проведению годового заседания общего собрания акционеров, лица,  имеющие </w:t>
      </w:r>
      <w:r>
        <w:rPr>
          <w:rFonts w:eastAsia="Times New Roman" w:cs="Arial" w:ascii="Arial" w:hAnsi="Arial"/>
          <w:spacing w:val="-6"/>
          <w:sz w:val="22"/>
          <w:szCs w:val="22"/>
          <w:shd w:fill="auto" w:val="clear"/>
          <w:lang w:eastAsia="ru-RU"/>
        </w:rPr>
        <w:t xml:space="preserve">право голоса при принятии решений </w:t>
      </w: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  <w:t>общим собранием акционеров, могут ознакомиться в течение 20 дней до даты проведения заседания</w:t>
      </w:r>
      <w:r>
        <w:rPr>
          <w:rFonts w:eastAsia="Times New Roman" w:cs="Arial" w:ascii="Arial" w:hAnsi="Arial"/>
          <w:b w:val="false"/>
          <w:bCs w:val="false"/>
          <w:color w:val="000000"/>
          <w:spacing w:val="-6"/>
          <w:sz w:val="22"/>
          <w:szCs w:val="22"/>
          <w:shd w:fill="auto" w:val="clear"/>
          <w:lang w:val="ru-RU" w:eastAsia="zh-CN" w:bidi="ar-SA"/>
        </w:rPr>
        <w:t>, начиная с «1</w:t>
      </w:r>
      <w:r>
        <w:rPr>
          <w:rFonts w:eastAsia="Times New Roman" w:cs="Arial" w:ascii="Arial" w:hAnsi="Arial"/>
          <w:b w:val="false"/>
          <w:bCs w:val="false"/>
          <w:color w:val="000000"/>
          <w:spacing w:val="-6"/>
          <w:sz w:val="22"/>
          <w:szCs w:val="22"/>
          <w:shd w:fill="auto" w:val="clear"/>
          <w:lang w:val="ru-RU" w:eastAsia="zh-CN" w:bidi="ar-SA"/>
        </w:rPr>
        <w:t>5</w:t>
      </w:r>
      <w:r>
        <w:rPr>
          <w:rFonts w:eastAsia="Times New Roman" w:cs="Arial" w:ascii="Arial" w:hAnsi="Arial"/>
          <w:b w:val="false"/>
          <w:bCs w:val="false"/>
          <w:color w:val="000000"/>
          <w:spacing w:val="-6"/>
          <w:sz w:val="22"/>
          <w:szCs w:val="22"/>
          <w:shd w:fill="auto" w:val="clear"/>
          <w:lang w:val="ru-RU" w:eastAsia="zh-CN" w:bidi="ar-SA"/>
        </w:rPr>
        <w:t>» ма</w:t>
      </w:r>
      <w:r>
        <w:rPr>
          <w:rFonts w:eastAsia="Times New Roman" w:cs="Arial" w:ascii="Arial" w:hAnsi="Arial"/>
          <w:b w:val="false"/>
          <w:bCs w:val="false"/>
          <w:color w:val="000000"/>
          <w:spacing w:val="-6"/>
          <w:sz w:val="22"/>
          <w:szCs w:val="22"/>
          <w:shd w:fill="auto" w:val="clear"/>
          <w:lang w:val="ru-RU" w:eastAsia="zh-CN" w:bidi="ar-SA"/>
        </w:rPr>
        <w:t>я</w:t>
      </w:r>
      <w:r>
        <w:rPr>
          <w:rFonts w:eastAsia="Times New Roman" w:cs="Arial" w:ascii="Arial" w:hAnsi="Arial"/>
          <w:b w:val="false"/>
          <w:bCs w:val="false"/>
          <w:color w:val="000000"/>
          <w:spacing w:val="-6"/>
          <w:sz w:val="22"/>
          <w:szCs w:val="22"/>
          <w:shd w:fill="auto" w:val="clear"/>
          <w:lang w:val="ru-RU" w:eastAsia="zh-CN" w:bidi="ar-SA"/>
        </w:rPr>
        <w:t xml:space="preserve"> 2025 года,</w:t>
      </w: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  <w:t xml:space="preserve"> а также во время проведения заседания в помещении исполнительного органа Общества, а также по адресу:</w:t>
      </w:r>
      <w:r>
        <w:rPr>
          <w:rFonts w:eastAsia="Times New Roman" w:cs="Arial" w:ascii="Arial" w:hAnsi="Arial"/>
          <w:b w:val="false"/>
          <w:bCs w:val="false"/>
          <w:color w:val="000000"/>
          <w:spacing w:val="-6"/>
          <w:sz w:val="22"/>
          <w:szCs w:val="22"/>
          <w:shd w:fill="auto" w:val="clear"/>
          <w:lang w:val="ru-RU" w:eastAsia="zh-CN" w:bidi="ar-SA"/>
        </w:rPr>
        <w:t xml:space="preserve"> Московская область, г.Павловский Посад, ул. Каляева, д.5, по рабо</w:t>
      </w: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  <w:t>чим дням с 1</w:t>
      </w: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  <w:t>0</w:t>
      </w: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  <w:t xml:space="preserve">.00 до 17.00. 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454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pacing w:val="-6"/>
          <w:sz w:val="22"/>
          <w:szCs w:val="22"/>
          <w:shd w:fill="auto" w:val="clear"/>
          <w:lang w:eastAsia="ru-RU"/>
        </w:rPr>
        <w:t>Для участия в годовом заседании общего собрания акционеров, а также для ознакомления с информацией (материалами), подлежащей предоставлению при подготовке к проведению годового заседания общего собрания акционеров, акционеру необходимо иметь при себе документ, удостоверяющий личность (паспорт), а представителям акционера – также доверенность, подтверждающую полномочия, оформленную в установленном действующим законодательством РФ порядке.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firstLine="454"/>
        <w:jc w:val="both"/>
        <w:rPr>
          <w:rFonts w:ascii="Arial" w:hAnsi="Arial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Сообщаем о необходимости предоставления акционерами, зарегистрированными в реестре акционеров общества, информации об изменении своих данных, включая паспортные, адресные данные и данные о банковских реквизитах, регистратору общества.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060"/>
      </w:tblGrid>
      <w:tr>
        <w:trPr/>
        <w:tc>
          <w:tcPr>
            <w:tcW w:w="1006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 w:ascii="Arial" w:hAnsi="Arial"/>
                <w:iCs/>
                <w:sz w:val="22"/>
                <w:szCs w:val="22"/>
                <w:shd w:fill="auto" w:val="clear"/>
              </w:rPr>
              <w:t xml:space="preserve">Наименование регистратора: </w:t>
            </w:r>
            <w:bookmarkStart w:id="1" w:name="ЦО_Наименование"/>
            <w:r>
              <w:rPr>
                <w:rFonts w:cs="Arial" w:ascii="Arial" w:hAnsi="Arial"/>
                <w:b/>
                <w:sz w:val="22"/>
                <w:szCs w:val="22"/>
                <w:shd w:fill="auto" w:val="clear"/>
              </w:rPr>
              <w:t>Акционерное общество "РДЦ ПАРИТЕТ"</w:t>
            </w:r>
            <w:bookmarkEnd w:id="1"/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 w:ascii="Arial" w:hAnsi="Arial"/>
                <w:iCs/>
                <w:sz w:val="22"/>
                <w:szCs w:val="22"/>
                <w:shd w:fill="auto" w:val="clear"/>
              </w:rPr>
              <w:t xml:space="preserve">Адрес: </w:t>
            </w:r>
            <w:bookmarkStart w:id="2" w:name="ЦО_ЮрАдрес"/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115114, г. Москва, вн.тер.г.муниципальный округ Даниловский, пер. 2-й Кожевнический, д. 12, стр. 2, этаж 3, помещ. XVI, комната №4</w:t>
            </w:r>
            <w:bookmarkEnd w:id="2"/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 w:ascii="Arial" w:hAnsi="Arial"/>
                <w:iCs/>
                <w:sz w:val="22"/>
                <w:szCs w:val="22"/>
                <w:shd w:fill="auto" w:val="clear"/>
              </w:rPr>
              <w:t xml:space="preserve">Контакты: </w:t>
            </w:r>
            <w:bookmarkStart w:id="3" w:name="Регистратор_КонтактРеквизиты"/>
            <w:r>
              <w:rPr>
                <w:rFonts w:cs="Arial" w:ascii="Arial" w:hAnsi="Arial"/>
                <w:sz w:val="22"/>
                <w:szCs w:val="22"/>
                <w:shd w:fill="auto" w:val="clear"/>
              </w:rPr>
              <w:t>тел</w:t>
            </w:r>
            <w:r>
              <w:rPr>
                <w:rFonts w:cs="Arial" w:ascii="Arial" w:hAnsi="Arial"/>
                <w:sz w:val="22"/>
                <w:szCs w:val="22"/>
                <w:shd w:fill="auto" w:val="clear"/>
                <w:lang w:val="en-US"/>
              </w:rPr>
              <w:t>.: (495) 994-7275, e-mail: office@paritet.ru</w:t>
            </w:r>
            <w:bookmarkEnd w:id="3"/>
          </w:p>
        </w:tc>
      </w:tr>
    </w:tbl>
    <w:p>
      <w:pPr>
        <w:pStyle w:val="Normal"/>
        <w:tabs>
          <w:tab w:val="clear" w:pos="708"/>
          <w:tab w:val="left" w:pos="851" w:leader="none"/>
        </w:tabs>
        <w:jc w:val="both"/>
        <w:rPr>
          <w:rFonts w:ascii="Arial" w:hAnsi="Arial" w:cs="Arial"/>
          <w:sz w:val="22"/>
          <w:szCs w:val="22"/>
          <w:highlight w:val="none"/>
          <w:shd w:fill="auto" w:val="clear"/>
          <w:lang w:val="en-US"/>
        </w:rPr>
      </w:pPr>
      <w:r>
        <w:rPr>
          <w:rFonts w:cs="Arial" w:ascii="Arial" w:hAnsi="Arial"/>
          <w:sz w:val="22"/>
          <w:szCs w:val="22"/>
          <w:shd w:fill="auto" w:val="clear"/>
          <w:lang w:val="en-US"/>
        </w:rPr>
      </w:r>
    </w:p>
    <w:p>
      <w:pPr>
        <w:pStyle w:val="Normal"/>
        <w:tabs>
          <w:tab w:val="clear" w:pos="708"/>
          <w:tab w:val="left" w:pos="851" w:leader="none"/>
        </w:tabs>
        <w:jc w:val="right"/>
        <w:rPr>
          <w:rFonts w:ascii="Arial" w:hAnsi="Arial" w:eastAsia="Calibri" w:cs="Arial"/>
          <w:b/>
          <w:b/>
          <w:sz w:val="22"/>
          <w:szCs w:val="22"/>
          <w:highlight w:val="none"/>
          <w:shd w:fill="auto" w:val="clear"/>
        </w:rPr>
      </w:pPr>
      <w:r>
        <w:rPr>
          <w:rFonts w:eastAsia="Calibri" w:cs="Arial" w:ascii="Arial" w:hAnsi="Arial"/>
          <w:b/>
          <w:sz w:val="22"/>
          <w:szCs w:val="22"/>
          <w:shd w:fill="auto" w:val="clear"/>
        </w:rPr>
        <w:t xml:space="preserve">Совет директоров </w:t>
      </w:r>
      <w:r>
        <w:rPr>
          <w:rFonts w:eastAsia="Calibri" w:cs="Arial" w:ascii="Arial" w:hAnsi="Arial"/>
          <w:b/>
          <w:sz w:val="22"/>
          <w:szCs w:val="22"/>
          <w:shd w:fill="auto" w:val="clear"/>
        </w:rPr>
        <w:t>О</w:t>
      </w:r>
      <w:r>
        <w:rPr>
          <w:rFonts w:eastAsia="Calibri" w:cs="Arial" w:ascii="Arial" w:hAnsi="Arial"/>
          <w:b/>
          <w:sz w:val="22"/>
          <w:szCs w:val="22"/>
          <w:shd w:fill="auto" w:val="clear"/>
        </w:rPr>
        <w:t>АО «</w:t>
      </w:r>
      <w:r>
        <w:rPr>
          <w:rFonts w:eastAsia="Calibri" w:cs="Arial" w:ascii="Arial" w:hAnsi="Arial"/>
          <w:b/>
          <w:spacing w:val="-6"/>
          <w:sz w:val="22"/>
          <w:szCs w:val="22"/>
          <w:shd w:fill="auto" w:val="clear"/>
          <w:lang w:val="ru-RU" w:eastAsia="ru-RU"/>
        </w:rPr>
        <w:t>Павловопосадская платочная мануфактур</w:t>
      </w:r>
      <w:r>
        <w:rPr>
          <w:rFonts w:eastAsia="Calibri" w:cs="Arial" w:ascii="Arial" w:hAnsi="Arial"/>
          <w:b/>
          <w:spacing w:val="-6"/>
          <w:sz w:val="22"/>
          <w:szCs w:val="22"/>
          <w:shd w:fill="auto" w:val="clear"/>
          <w:lang w:val="ru-RU" w:eastAsia="ru-RU"/>
        </w:rPr>
        <w:t>а</w:t>
      </w:r>
      <w:r>
        <w:rPr>
          <w:rFonts w:eastAsia="Calibri" w:cs="Arial" w:ascii="Arial" w:hAnsi="Arial"/>
          <w:b/>
          <w:sz w:val="22"/>
          <w:szCs w:val="22"/>
          <w:shd w:fill="auto" w:val="clear"/>
        </w:rPr>
        <w:t>»</w:t>
      </w:r>
    </w:p>
    <w:sectPr>
      <w:type w:val="nextPage"/>
      <w:pgSz w:w="11906" w:h="16838"/>
      <w:pgMar w:left="994" w:right="851" w:gutter="0" w:header="0" w:top="506" w:footer="0" w:bottom="7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51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ListParagraph"/>
    <w:uiPriority w:val="34"/>
    <w:qFormat/>
    <w:locked/>
    <w:rsid w:val="009c6510"/>
    <w:rPr/>
  </w:style>
  <w:style w:type="character" w:styleId="Annotationreference">
    <w:name w:val="annotation reference"/>
    <w:uiPriority w:val="99"/>
    <w:semiHidden/>
    <w:unhideWhenUsed/>
    <w:qFormat/>
    <w:rsid w:val="009b4a2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9b4a2e"/>
    <w:rPr>
      <w:rFonts w:ascii="Arial" w:hAnsi="Arial" w:eastAsia="Calibri" w:cs="Times New Roman"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b4a2e"/>
    <w:rPr>
      <w:rFonts w:ascii="Segoe UI" w:hAnsi="Segoe UI" w:eastAsia="Calibri" w:cs="Segoe UI"/>
      <w:sz w:val="18"/>
      <w:szCs w:val="18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1d479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7">
    <w:name w:val="Интернет-ссылка"/>
    <w:basedOn w:val="DefaultParagraphFont"/>
    <w:uiPriority w:val="99"/>
    <w:semiHidden/>
    <w:unhideWhenUsed/>
    <w:rsid w:val="00153b73"/>
    <w:rPr>
      <w:color w:val="0000FF"/>
      <w:u w:val="single"/>
    </w:rPr>
  </w:style>
  <w:style w:type="character" w:styleId="Style18" w:customStyle="1">
    <w:name w:val="Верхний колонтитул Знак"/>
    <w:basedOn w:val="DefaultParagraphFont"/>
    <w:uiPriority w:val="99"/>
    <w:semiHidden/>
    <w:qFormat/>
    <w:rsid w:val="003e3690"/>
    <w:rPr>
      <w:rFonts w:ascii="Calibri" w:hAnsi="Calibri" w:eastAsia="Calibri" w:cs="Times New Roman"/>
    </w:rPr>
  </w:style>
  <w:style w:type="character" w:styleId="Style19" w:customStyle="1">
    <w:name w:val="Нижний колонтитул Знак"/>
    <w:basedOn w:val="DefaultParagraphFont"/>
    <w:uiPriority w:val="99"/>
    <w:semiHidden/>
    <w:qFormat/>
    <w:rsid w:val="003e3690"/>
    <w:rPr>
      <w:rFonts w:ascii="Calibri" w:hAnsi="Calibri" w:eastAsia="Calibri" w:cs="Times New Roman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2"/>
      <w:szCs w:val="22"/>
      <w:u w:val="none"/>
    </w:rPr>
  </w:style>
  <w:style w:type="character" w:styleId="WW8Num6z0">
    <w:name w:val="WW8Num6z0"/>
    <w:qFormat/>
    <w:rPr>
      <w:rFonts w:ascii="Symbol" w:hAnsi="Symbol" w:cs="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Style14"/>
    <w:uiPriority w:val="34"/>
    <w:qFormat/>
    <w:rsid w:val="009c6510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9b4a2e"/>
    <w:pPr>
      <w:spacing w:lineRule="auto" w:line="276" w:before="0" w:after="20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b4a2e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1d479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1" w:customStyle="1">
    <w:name w:val="LO-normal"/>
    <w:qFormat/>
    <w:rsid w:val="00367251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153b73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8"/>
    <w:uiPriority w:val="99"/>
    <w:semiHidden/>
    <w:unhideWhenUsed/>
    <w:rsid w:val="003e36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9"/>
    <w:uiPriority w:val="99"/>
    <w:semiHidden/>
    <w:unhideWhenUsed/>
    <w:rsid w:val="003e369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6">
    <w:name w:val="WW8Num6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A56775DE7EFBA27C5F87E0AB9B4F5FEFD5FE8B5A9772E93301F969BA52A7F7FE0F207529WDgDJ" TargetMode="External"/><Relationship Id="rId3" Type="http://schemas.openxmlformats.org/officeDocument/2006/relationships/hyperlink" Target="consultantplus://offline/ref=5FA56775DE7EFBA27C5F87E0AB9B4F5FEFD5FE8B5A9772E93301F969BA52A7F7FE0F207529WDgCJ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Application>LibreOffice/7.3.2.2$Windows_X86_64 LibreOffice_project/49f2b1bff42cfccbd8f788c8dc32c1c309559be0</Application>
  <AppVersion>15.0000</AppVersion>
  <Pages>1</Pages>
  <Words>584</Words>
  <Characters>3329</Characters>
  <CharactersWithSpaces>3906</CharactersWithSpaces>
  <Paragraphs>7</Paragraphs>
  <Company>MR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2025-01-29T12:11:00Z</dcterms:created>
  <dc:creator>Бубнова Мария Юрьевна</dc:creator>
  <dc:description/>
  <dc:language>ru-RU</dc:language>
  <cp:lastModifiedBy/>
  <dcterms:modified xsi:type="dcterms:W3CDTF">2025-04-18T16:32:27Z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